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5113" w14:textId="77777777" w:rsidR="00796AEF" w:rsidRPr="00796AEF" w:rsidRDefault="00796AEF" w:rsidP="00B627C7">
      <w:pPr>
        <w:spacing w:line="240" w:lineRule="auto"/>
        <w:ind w:firstLine="432"/>
        <w:jc w:val="both"/>
        <w:rPr>
          <w:rFonts w:ascii="Sylfaen" w:hAnsi="Sylfaen"/>
        </w:rPr>
      </w:pPr>
      <w:r w:rsidRPr="00796AEF">
        <w:rPr>
          <w:rFonts w:ascii="Sylfaen" w:hAnsi="Sylfaen"/>
        </w:rPr>
        <w:t>1. Relevant sources should be properly indicated in the paper.</w:t>
      </w:r>
    </w:p>
    <w:p w14:paraId="09D74CED" w14:textId="77777777" w:rsidR="00796AEF" w:rsidRPr="00796AEF" w:rsidRDefault="00796AEF" w:rsidP="00B627C7">
      <w:pPr>
        <w:spacing w:line="240" w:lineRule="auto"/>
        <w:ind w:firstLine="432"/>
        <w:jc w:val="both"/>
        <w:rPr>
          <w:rFonts w:ascii="Sylfaen" w:hAnsi="Sylfaen"/>
        </w:rPr>
      </w:pPr>
      <w:r w:rsidRPr="00796AEF">
        <w:rPr>
          <w:rFonts w:ascii="Sylfaen" w:hAnsi="Sylfaen"/>
        </w:rPr>
        <w:t>2. The source should be referenced in Arabic numerals in the form of a footnote. The footnote in the text must be preceded by a closing punctuation mark (letter, exclamation mark, question mark). Footnotes may be used to describe a particular word or term;</w:t>
      </w:r>
    </w:p>
    <w:p w14:paraId="23AEDFDD" w14:textId="1B0D2708" w:rsidR="00796AEF" w:rsidRPr="00796AEF" w:rsidRDefault="00796AEF" w:rsidP="00B627C7">
      <w:pPr>
        <w:spacing w:line="240" w:lineRule="auto"/>
        <w:ind w:firstLine="432"/>
        <w:jc w:val="both"/>
        <w:rPr>
          <w:rFonts w:ascii="Sylfaen" w:hAnsi="Sylfaen"/>
        </w:rPr>
      </w:pPr>
      <w:r w:rsidRPr="00796AEF">
        <w:rPr>
          <w:rFonts w:ascii="Sylfaen" w:hAnsi="Sylfaen"/>
        </w:rPr>
        <w:t xml:space="preserve">3. </w:t>
      </w:r>
      <w:r w:rsidR="00075471">
        <w:rPr>
          <w:rFonts w:ascii="Sylfaen" w:hAnsi="Sylfaen"/>
        </w:rPr>
        <w:t xml:space="preserve">Recommended </w:t>
      </w:r>
      <w:r w:rsidRPr="00796AEF">
        <w:rPr>
          <w:rFonts w:ascii="Sylfaen" w:hAnsi="Sylfaen"/>
        </w:rPr>
        <w:t>rules for indicating the</w:t>
      </w:r>
      <w:r w:rsidR="00075471">
        <w:rPr>
          <w:rFonts w:ascii="Sylfaen" w:hAnsi="Sylfaen"/>
        </w:rPr>
        <w:t xml:space="preserve"> </w:t>
      </w:r>
      <w:r w:rsidRPr="00796AEF">
        <w:rPr>
          <w:rFonts w:ascii="Sylfaen" w:hAnsi="Sylfaen"/>
        </w:rPr>
        <w:t>source</w:t>
      </w:r>
      <w:r w:rsidR="00075471">
        <w:rPr>
          <w:rFonts w:ascii="Sylfaen" w:hAnsi="Sylfaen"/>
        </w:rPr>
        <w:t>s</w:t>
      </w:r>
      <w:r w:rsidRPr="00796AEF">
        <w:rPr>
          <w:rFonts w:ascii="Sylfaen" w:hAnsi="Sylfaen"/>
        </w:rPr>
        <w:t xml:space="preserve"> of papers submitted in Georgian are:</w:t>
      </w:r>
    </w:p>
    <w:p w14:paraId="06CEEADE" w14:textId="77777777" w:rsidR="00796AEF" w:rsidRPr="00796AEF" w:rsidRDefault="00796AEF" w:rsidP="00B627C7">
      <w:pPr>
        <w:spacing w:line="240" w:lineRule="auto"/>
        <w:ind w:firstLine="432"/>
        <w:jc w:val="both"/>
        <w:rPr>
          <w:rFonts w:ascii="Sylfaen" w:hAnsi="Sylfaen"/>
        </w:rPr>
      </w:pPr>
      <w:r w:rsidRPr="00796AEF">
        <w:rPr>
          <w:rFonts w:ascii="Sylfaen" w:hAnsi="Sylfaen"/>
        </w:rPr>
        <w:t>4. First reference to the book:</w:t>
      </w:r>
    </w:p>
    <w:p w14:paraId="4B15085C" w14:textId="73000697" w:rsidR="00796AEF" w:rsidRPr="00796AEF" w:rsidRDefault="00796AEF" w:rsidP="00B627C7">
      <w:pPr>
        <w:spacing w:line="240" w:lineRule="auto"/>
        <w:ind w:firstLine="432"/>
        <w:jc w:val="both"/>
        <w:rPr>
          <w:rFonts w:ascii="Sylfaen" w:hAnsi="Sylfaen"/>
        </w:rPr>
      </w:pPr>
      <w:r w:rsidRPr="00796AEF">
        <w:rPr>
          <w:rFonts w:ascii="Sylfaen" w:hAnsi="Sylfaen"/>
        </w:rPr>
        <w:t xml:space="preserve">A) </w:t>
      </w:r>
      <w:r w:rsidR="00352B38">
        <w:rPr>
          <w:rFonts w:ascii="Sylfaen" w:hAnsi="Sylfaen"/>
        </w:rPr>
        <w:t>I</w:t>
      </w:r>
      <w:r w:rsidRPr="00796AEF">
        <w:rPr>
          <w:rFonts w:ascii="Sylfaen" w:hAnsi="Sylfaen"/>
        </w:rPr>
        <w:t>n case of one or two authors - author's surname, initials, title of the book in quotation marks, publishing house, year, page or paragraph;</w:t>
      </w:r>
    </w:p>
    <w:p w14:paraId="00EE96BB"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Hobbes, T., Leviathan, Penguin Publishing, 1985. p. 268.</w:t>
      </w:r>
    </w:p>
    <w:p w14:paraId="5C192739" w14:textId="3A5C856F" w:rsidR="00796AEF" w:rsidRPr="00796AEF" w:rsidRDefault="00796AEF" w:rsidP="00B627C7">
      <w:pPr>
        <w:spacing w:line="240" w:lineRule="auto"/>
        <w:ind w:firstLine="432"/>
        <w:jc w:val="both"/>
        <w:rPr>
          <w:rFonts w:ascii="Sylfaen" w:hAnsi="Sylfaen"/>
        </w:rPr>
      </w:pPr>
      <w:r w:rsidRPr="00796AEF">
        <w:rPr>
          <w:rFonts w:ascii="Sylfaen" w:hAnsi="Sylfaen"/>
        </w:rPr>
        <w:t xml:space="preserve">B) </w:t>
      </w:r>
      <w:r w:rsidR="00352B38">
        <w:rPr>
          <w:rFonts w:ascii="Sylfaen" w:hAnsi="Sylfaen"/>
        </w:rPr>
        <w:t>I</w:t>
      </w:r>
      <w:r w:rsidRPr="00796AEF">
        <w:rPr>
          <w:rFonts w:ascii="Sylfaen" w:hAnsi="Sylfaen"/>
        </w:rPr>
        <w:t>n case of several authors -</w:t>
      </w:r>
      <w:r w:rsidR="000F53D6">
        <w:rPr>
          <w:rFonts w:ascii="Sylfaen" w:hAnsi="Sylfaen"/>
        </w:rPr>
        <w:t xml:space="preserve"> </w:t>
      </w:r>
      <w:r w:rsidRPr="00796AEF">
        <w:rPr>
          <w:rFonts w:ascii="Sylfaen" w:hAnsi="Sylfaen"/>
        </w:rPr>
        <w:t>first author (surname, initials of the name.) With reference to "and others" (in</w:t>
      </w:r>
      <w:r w:rsidR="00352B38">
        <w:rPr>
          <w:rFonts w:ascii="Sylfaen" w:hAnsi="Sylfaen"/>
        </w:rPr>
        <w:t xml:space="preserve"> </w:t>
      </w:r>
      <w:r w:rsidRPr="00796AEF">
        <w:rPr>
          <w:rFonts w:ascii="Sylfaen" w:hAnsi="Sylfaen"/>
        </w:rPr>
        <w:t>case of a team of authors: team of authors, editor),</w:t>
      </w:r>
      <w:r w:rsidR="00352B38">
        <w:rPr>
          <w:rFonts w:ascii="Sylfaen" w:hAnsi="Sylfaen"/>
        </w:rPr>
        <w:t xml:space="preserve"> </w:t>
      </w:r>
      <w:r w:rsidRPr="00796AEF">
        <w:rPr>
          <w:rFonts w:ascii="Sylfaen" w:hAnsi="Sylfaen"/>
        </w:rPr>
        <w:t>title of the book in quotation marks, publishing house, year, page, or paragraph.</w:t>
      </w:r>
    </w:p>
    <w:p w14:paraId="4C02A4C0"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Collective of Authors, Editor Demetrashvili, A., "Handbook of Constitutional Law", Hollywood Publishing House, 2005. p. 305.</w:t>
      </w:r>
    </w:p>
    <w:p w14:paraId="1C774666" w14:textId="77777777" w:rsidR="00796AEF" w:rsidRPr="00796AEF" w:rsidRDefault="00796AEF" w:rsidP="00B627C7">
      <w:pPr>
        <w:spacing w:line="240" w:lineRule="auto"/>
        <w:ind w:firstLine="432"/>
        <w:jc w:val="both"/>
        <w:rPr>
          <w:rFonts w:ascii="Sylfaen" w:hAnsi="Sylfaen"/>
        </w:rPr>
      </w:pPr>
      <w:r w:rsidRPr="00796AEF">
        <w:rPr>
          <w:rFonts w:ascii="Sylfaen" w:hAnsi="Sylfaen"/>
        </w:rPr>
        <w:t>5. Each subsequent reference to the book - surname of the author, see. Relevant primary reference footnote number, page, or paragraph.</w:t>
      </w:r>
    </w:p>
    <w:p w14:paraId="26D47912"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Hobbes, cf. Footnote 15, page 88.</w:t>
      </w:r>
    </w:p>
    <w:p w14:paraId="40355BFD" w14:textId="5F4B8363" w:rsidR="00796AEF" w:rsidRPr="00796AEF" w:rsidRDefault="00796AEF" w:rsidP="00B627C7">
      <w:pPr>
        <w:spacing w:line="240" w:lineRule="auto"/>
        <w:ind w:firstLine="432"/>
        <w:jc w:val="both"/>
        <w:rPr>
          <w:rFonts w:ascii="Sylfaen" w:hAnsi="Sylfaen"/>
        </w:rPr>
      </w:pPr>
      <w:r w:rsidRPr="00796AEF">
        <w:rPr>
          <w:rFonts w:ascii="Sylfaen" w:hAnsi="Sylfaen"/>
        </w:rPr>
        <w:t>6. Article in</w:t>
      </w:r>
      <w:r w:rsidR="00B26E57">
        <w:rPr>
          <w:rFonts w:ascii="Sylfaen" w:hAnsi="Sylfaen"/>
        </w:rPr>
        <w:t xml:space="preserve"> a </w:t>
      </w:r>
      <w:r w:rsidRPr="00796AEF">
        <w:rPr>
          <w:rFonts w:ascii="Sylfaen" w:hAnsi="Sylfaen"/>
        </w:rPr>
        <w:t xml:space="preserve">book: </w:t>
      </w:r>
      <w:r w:rsidR="00B26E57">
        <w:rPr>
          <w:rFonts w:ascii="Sylfaen" w:hAnsi="Sylfaen"/>
        </w:rPr>
        <w:t>A</w:t>
      </w:r>
      <w:r w:rsidRPr="00796AEF">
        <w:rPr>
          <w:rFonts w:ascii="Sylfaen" w:hAnsi="Sylfaen"/>
        </w:rPr>
        <w:t>uthor of the article (surname. Initials), title of the article, in</w:t>
      </w:r>
      <w:r w:rsidR="00B26E57">
        <w:rPr>
          <w:rFonts w:ascii="Sylfaen" w:hAnsi="Sylfaen"/>
        </w:rPr>
        <w:t xml:space="preserve"> a </w:t>
      </w:r>
      <w:r w:rsidRPr="00796AEF">
        <w:rPr>
          <w:rFonts w:ascii="Sylfaen" w:hAnsi="Sylfaen"/>
        </w:rPr>
        <w:t>book - by reference to the book.</w:t>
      </w:r>
    </w:p>
    <w:p w14:paraId="5A16D871" w14:textId="71BD5759" w:rsidR="00796AEF" w:rsidRPr="00796AEF" w:rsidRDefault="00796AEF" w:rsidP="00B627C7">
      <w:pPr>
        <w:spacing w:line="240" w:lineRule="auto"/>
        <w:ind w:firstLine="432"/>
        <w:jc w:val="both"/>
        <w:rPr>
          <w:rFonts w:ascii="Sylfaen" w:hAnsi="Sylfaen"/>
        </w:rPr>
      </w:pPr>
      <w:r w:rsidRPr="00796AEF">
        <w:rPr>
          <w:rFonts w:ascii="Sylfaen" w:hAnsi="Sylfaen"/>
        </w:rPr>
        <w:t>For example: Rose, F.,</w:t>
      </w:r>
      <w:r w:rsidR="00E72EFE">
        <w:rPr>
          <w:rFonts w:ascii="Sylfaen" w:hAnsi="Sylfaen"/>
        </w:rPr>
        <w:t xml:space="preserve"> “</w:t>
      </w:r>
      <w:r w:rsidRPr="00796AEF">
        <w:rPr>
          <w:rFonts w:ascii="Sylfaen" w:hAnsi="Sylfaen"/>
        </w:rPr>
        <w:t>The Evolution of Species</w:t>
      </w:r>
      <w:r w:rsidR="00E72EFE">
        <w:rPr>
          <w:rFonts w:ascii="Sylfaen" w:hAnsi="Sylfaen"/>
        </w:rPr>
        <w:t>”</w:t>
      </w:r>
      <w:r w:rsidRPr="00796AEF">
        <w:rPr>
          <w:rFonts w:ascii="Sylfaen" w:hAnsi="Sylfaen"/>
        </w:rPr>
        <w:t xml:space="preserve">, </w:t>
      </w:r>
      <w:r w:rsidR="00E72EFE">
        <w:rPr>
          <w:rFonts w:ascii="Sylfaen" w:hAnsi="Sylfaen"/>
        </w:rPr>
        <w:t xml:space="preserve">in </w:t>
      </w:r>
      <w:r w:rsidRPr="00796AEF">
        <w:rPr>
          <w:rFonts w:ascii="Sylfaen" w:hAnsi="Sylfaen"/>
        </w:rPr>
        <w:t xml:space="preserve">Burroughs, E., and Roger, A. (Editors), </w:t>
      </w:r>
      <w:r w:rsidR="00E72EFE">
        <w:rPr>
          <w:rFonts w:ascii="Sylfaen" w:hAnsi="Sylfaen"/>
        </w:rPr>
        <w:t>“</w:t>
      </w:r>
      <w:r w:rsidRPr="00796AEF">
        <w:rPr>
          <w:rFonts w:ascii="Sylfaen" w:hAnsi="Sylfaen"/>
        </w:rPr>
        <w:t>Definition of Law: Essays in Memory of Peter Birkes</w:t>
      </w:r>
      <w:r w:rsidR="00E72EFE">
        <w:rPr>
          <w:rFonts w:ascii="Sylfaen" w:hAnsi="Sylfaen"/>
        </w:rPr>
        <w:t>”</w:t>
      </w:r>
      <w:r w:rsidRPr="00796AEF">
        <w:rPr>
          <w:rFonts w:ascii="Sylfaen" w:hAnsi="Sylfaen"/>
        </w:rPr>
        <w:t>. Oxford University Press, 2006.</w:t>
      </w:r>
    </w:p>
    <w:p w14:paraId="397A5798" w14:textId="0D6A95C2" w:rsidR="00796AEF" w:rsidRPr="00796AEF" w:rsidRDefault="00796AEF" w:rsidP="00B627C7">
      <w:pPr>
        <w:spacing w:line="240" w:lineRule="auto"/>
        <w:ind w:firstLine="432"/>
        <w:jc w:val="both"/>
        <w:rPr>
          <w:rFonts w:ascii="Sylfaen" w:hAnsi="Sylfaen"/>
        </w:rPr>
      </w:pPr>
      <w:r w:rsidRPr="00796AEF">
        <w:rPr>
          <w:rFonts w:ascii="Sylfaen" w:hAnsi="Sylfaen"/>
        </w:rPr>
        <w:t>7. Indication of the article in the periodical - author of the article (surname. Initials), the title of the article in quotation marks, the number of the publication and the title of the publication in quotation marks, year, page and / or paragraph. The rule of further reference is similar to the rule of further reference of the book.</w:t>
      </w:r>
    </w:p>
    <w:p w14:paraId="257F3551"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Kvaratskhelia, G., “Constitutional proceedings on a disputed or declared invalid act”, 10 “Review of Constitutional Law”, 2016. p. 45-47.</w:t>
      </w:r>
    </w:p>
    <w:p w14:paraId="1C2D28C3" w14:textId="77777777" w:rsidR="00796AEF" w:rsidRPr="00796AEF" w:rsidRDefault="00796AEF" w:rsidP="00B627C7">
      <w:pPr>
        <w:spacing w:line="240" w:lineRule="auto"/>
        <w:ind w:firstLine="432"/>
        <w:jc w:val="both"/>
        <w:rPr>
          <w:rFonts w:ascii="Sylfaen" w:hAnsi="Sylfaen"/>
        </w:rPr>
      </w:pPr>
      <w:r w:rsidRPr="00796AEF">
        <w:rPr>
          <w:rFonts w:ascii="Sylfaen" w:hAnsi="Sylfaen"/>
        </w:rPr>
        <w:t>8. Indication of a newspaper article - author (surname. Initials.), Title of the article in quotation marks, title of the newspaper, date, pages.</w:t>
      </w:r>
    </w:p>
    <w:p w14:paraId="0B818D7F" w14:textId="77777777" w:rsidR="00796AEF" w:rsidRPr="00796AEF" w:rsidRDefault="00796AEF" w:rsidP="00B627C7">
      <w:pPr>
        <w:spacing w:line="240" w:lineRule="auto"/>
        <w:ind w:firstLine="432"/>
        <w:jc w:val="both"/>
        <w:rPr>
          <w:rFonts w:ascii="Sylfaen" w:hAnsi="Sylfaen"/>
          <w:lang w:val="es-ES_tradnl"/>
        </w:rPr>
      </w:pPr>
      <w:proofErr w:type="spellStart"/>
      <w:r w:rsidRPr="00796AEF">
        <w:rPr>
          <w:rFonts w:ascii="Sylfaen" w:hAnsi="Sylfaen"/>
          <w:lang w:val="es-ES_tradnl"/>
        </w:rPr>
        <w:t>For</w:t>
      </w:r>
      <w:proofErr w:type="spellEnd"/>
      <w:r w:rsidRPr="00796AEF">
        <w:rPr>
          <w:rFonts w:ascii="Sylfaen" w:hAnsi="Sylfaen"/>
          <w:lang w:val="es-ES_tradnl"/>
        </w:rPr>
        <w:t xml:space="preserve"> </w:t>
      </w:r>
      <w:proofErr w:type="spellStart"/>
      <w:r w:rsidRPr="00796AEF">
        <w:rPr>
          <w:rFonts w:ascii="Sylfaen" w:hAnsi="Sylfaen"/>
          <w:lang w:val="es-ES_tradnl"/>
        </w:rPr>
        <w:t>example</w:t>
      </w:r>
      <w:proofErr w:type="spellEnd"/>
      <w:r w:rsidRPr="00796AEF">
        <w:rPr>
          <w:rFonts w:ascii="Sylfaen" w:hAnsi="Sylfaen"/>
          <w:lang w:val="es-ES_tradnl"/>
        </w:rPr>
        <w:t xml:space="preserve">: </w:t>
      </w:r>
      <w:proofErr w:type="spellStart"/>
      <w:r w:rsidRPr="00796AEF">
        <w:rPr>
          <w:rFonts w:ascii="Sylfaen" w:hAnsi="Sylfaen"/>
          <w:lang w:val="es-ES_tradnl"/>
        </w:rPr>
        <w:t>Pardoa-Shiopa</w:t>
      </w:r>
      <w:proofErr w:type="spellEnd"/>
      <w:r w:rsidRPr="00796AEF">
        <w:rPr>
          <w:rFonts w:ascii="Sylfaen" w:hAnsi="Sylfaen"/>
          <w:lang w:val="es-ES_tradnl"/>
        </w:rPr>
        <w:t>, T., "</w:t>
      </w:r>
      <w:proofErr w:type="spellStart"/>
      <w:r w:rsidRPr="00796AEF">
        <w:rPr>
          <w:rFonts w:ascii="Sylfaen" w:hAnsi="Sylfaen"/>
          <w:lang w:val="es-ES_tradnl"/>
        </w:rPr>
        <w:t>Il</w:t>
      </w:r>
      <w:proofErr w:type="spellEnd"/>
      <w:r w:rsidRPr="00796AEF">
        <w:rPr>
          <w:rFonts w:ascii="Sylfaen" w:hAnsi="Sylfaen"/>
          <w:lang w:val="es-ES_tradnl"/>
        </w:rPr>
        <w:t xml:space="preserve"> </w:t>
      </w:r>
      <w:proofErr w:type="spellStart"/>
      <w:r w:rsidRPr="00796AEF">
        <w:rPr>
          <w:rFonts w:ascii="Sylfaen" w:hAnsi="Sylfaen"/>
          <w:lang w:val="es-ES_tradnl"/>
        </w:rPr>
        <w:t>carattere</w:t>
      </w:r>
      <w:proofErr w:type="spellEnd"/>
      <w:r w:rsidRPr="00796AEF">
        <w:rPr>
          <w:rFonts w:ascii="Sylfaen" w:hAnsi="Sylfaen"/>
          <w:lang w:val="es-ES_tradnl"/>
        </w:rPr>
        <w:t xml:space="preserve"> </w:t>
      </w:r>
      <w:proofErr w:type="spellStart"/>
      <w:r w:rsidRPr="00796AEF">
        <w:rPr>
          <w:rFonts w:ascii="Sylfaen" w:hAnsi="Sylfaen"/>
          <w:lang w:val="es-ES_tradnl"/>
        </w:rPr>
        <w:t>dell</w:t>
      </w:r>
      <w:proofErr w:type="spellEnd"/>
      <w:r w:rsidRPr="00796AEF">
        <w:rPr>
          <w:rFonts w:ascii="Sylfaen" w:hAnsi="Sylfaen"/>
          <w:lang w:val="es-ES_tradnl"/>
        </w:rPr>
        <w:t xml:space="preserve"> 'Europa", </w:t>
      </w:r>
      <w:proofErr w:type="spellStart"/>
      <w:r w:rsidRPr="00796AEF">
        <w:rPr>
          <w:rFonts w:ascii="Sylfaen" w:hAnsi="Sylfaen"/>
          <w:lang w:val="es-ES_tradnl"/>
        </w:rPr>
        <w:t>Carriere</w:t>
      </w:r>
      <w:proofErr w:type="spellEnd"/>
      <w:r w:rsidRPr="00796AEF">
        <w:rPr>
          <w:rFonts w:ascii="Sylfaen" w:hAnsi="Sylfaen"/>
          <w:lang w:val="es-ES_tradnl"/>
        </w:rPr>
        <w:t xml:space="preserve"> </w:t>
      </w:r>
      <w:proofErr w:type="spellStart"/>
      <w:r w:rsidRPr="00796AEF">
        <w:rPr>
          <w:rFonts w:ascii="Sylfaen" w:hAnsi="Sylfaen"/>
          <w:lang w:val="es-ES_tradnl"/>
        </w:rPr>
        <w:t>della</w:t>
      </w:r>
      <w:proofErr w:type="spellEnd"/>
      <w:r w:rsidRPr="00796AEF">
        <w:rPr>
          <w:rFonts w:ascii="Sylfaen" w:hAnsi="Sylfaen"/>
          <w:lang w:val="es-ES_tradnl"/>
        </w:rPr>
        <w:t xml:space="preserve"> Serra, June 22, 2004, p. 1.</w:t>
      </w:r>
    </w:p>
    <w:p w14:paraId="041DEDA6" w14:textId="0EEF2646" w:rsidR="00796AEF" w:rsidRPr="00796AEF" w:rsidRDefault="00796AEF" w:rsidP="00B627C7">
      <w:pPr>
        <w:spacing w:line="240" w:lineRule="auto"/>
        <w:ind w:firstLine="432"/>
        <w:jc w:val="both"/>
        <w:rPr>
          <w:rFonts w:ascii="Sylfaen" w:hAnsi="Sylfaen"/>
        </w:rPr>
      </w:pPr>
      <w:r w:rsidRPr="00796AEF">
        <w:rPr>
          <w:rFonts w:ascii="Sylfaen" w:hAnsi="Sylfaen"/>
        </w:rPr>
        <w:t xml:space="preserve">9. Indication of Internet sources (blogs, websites) - similar to the rule of a newspaper article, with a reference to the website and the date of the last </w:t>
      </w:r>
      <w:r w:rsidR="00971F2C">
        <w:rPr>
          <w:rFonts w:ascii="Sylfaen" w:hAnsi="Sylfaen"/>
        </w:rPr>
        <w:t>seen</w:t>
      </w:r>
      <w:r w:rsidRPr="00796AEF">
        <w:rPr>
          <w:rFonts w:ascii="Sylfaen" w:hAnsi="Sylfaen"/>
        </w:rPr>
        <w:t xml:space="preserve"> in square brackets.</w:t>
      </w:r>
    </w:p>
    <w:p w14:paraId="0B32A8BD" w14:textId="4548DF63" w:rsidR="00796AEF" w:rsidRPr="00796AEF" w:rsidRDefault="00796AEF" w:rsidP="00B627C7">
      <w:pPr>
        <w:spacing w:line="240" w:lineRule="auto"/>
        <w:ind w:firstLine="432"/>
        <w:jc w:val="both"/>
        <w:rPr>
          <w:rFonts w:ascii="Sylfaen" w:hAnsi="Sylfaen"/>
        </w:rPr>
      </w:pPr>
      <w:r w:rsidRPr="00796AEF">
        <w:rPr>
          <w:rFonts w:ascii="Sylfaen" w:hAnsi="Sylfaen"/>
        </w:rPr>
        <w:t xml:space="preserve">For example: Klaasen, M., “The best interests of the child in deportation cases: An analysis of </w:t>
      </w:r>
      <w:proofErr w:type="spellStart"/>
      <w:r w:rsidRPr="00796AEF">
        <w:rPr>
          <w:rFonts w:ascii="Sylfaen" w:hAnsi="Sylfaen"/>
        </w:rPr>
        <w:t>Ejimson</w:t>
      </w:r>
      <w:proofErr w:type="spellEnd"/>
      <w:r w:rsidRPr="00796AEF">
        <w:rPr>
          <w:rFonts w:ascii="Sylfaen" w:hAnsi="Sylfaen"/>
        </w:rPr>
        <w:t xml:space="preserve"> v. Germany ”Strasbourg Observers Blog, www.strasbourgobservers.com/2018/03/30/the-best-interests-of-the-child-in-deportation-cases-an-analysis-of-ejimson-v-germany/ [</w:t>
      </w:r>
      <w:r w:rsidR="00515B0A">
        <w:rPr>
          <w:rFonts w:ascii="Sylfaen" w:hAnsi="Sylfaen"/>
        </w:rPr>
        <w:t>L.s.</w:t>
      </w:r>
      <w:r w:rsidRPr="00796AEF">
        <w:rPr>
          <w:rFonts w:ascii="Sylfaen" w:hAnsi="Sylfaen"/>
        </w:rPr>
        <w:t>17.04.2018].</w:t>
      </w:r>
    </w:p>
    <w:p w14:paraId="31800D50" w14:textId="0119248C" w:rsidR="00796AEF" w:rsidRPr="00796AEF" w:rsidRDefault="00796AEF" w:rsidP="00B627C7">
      <w:pPr>
        <w:spacing w:line="240" w:lineRule="auto"/>
        <w:ind w:firstLine="432"/>
        <w:jc w:val="both"/>
        <w:rPr>
          <w:rFonts w:ascii="Sylfaen" w:hAnsi="Sylfaen"/>
        </w:rPr>
      </w:pPr>
      <w:r w:rsidRPr="00796AEF">
        <w:rPr>
          <w:rFonts w:ascii="Sylfaen" w:hAnsi="Sylfaen"/>
        </w:rPr>
        <w:lastRenderedPageBreak/>
        <w:t xml:space="preserve">10. Reference to the legislation </w:t>
      </w:r>
      <w:r w:rsidR="00973A71">
        <w:rPr>
          <w:rFonts w:ascii="Sylfaen" w:hAnsi="Sylfaen"/>
        </w:rPr>
        <w:t xml:space="preserve">– </w:t>
      </w:r>
      <w:r w:rsidRPr="00796AEF">
        <w:rPr>
          <w:rFonts w:ascii="Sylfaen" w:hAnsi="Sylfaen"/>
        </w:rPr>
        <w:t>number</w:t>
      </w:r>
      <w:r w:rsidR="00973A71">
        <w:rPr>
          <w:rFonts w:ascii="Sylfaen" w:hAnsi="Sylfaen"/>
        </w:rPr>
        <w:t xml:space="preserve"> of an article</w:t>
      </w:r>
      <w:r w:rsidRPr="00796AEF">
        <w:rPr>
          <w:rFonts w:ascii="Sylfaen" w:hAnsi="Sylfaen"/>
        </w:rPr>
        <w:t>, title of the act, date of adoption.</w:t>
      </w:r>
    </w:p>
    <w:p w14:paraId="188B87D0"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Article 7, Organic Law of Georgia on the Constitutional Court of Georgia. January 31, 1996;</w:t>
      </w:r>
    </w:p>
    <w:p w14:paraId="3BE5F08F" w14:textId="493B0558" w:rsidR="00796AEF" w:rsidRPr="00796AEF" w:rsidRDefault="00796AEF" w:rsidP="00B627C7">
      <w:pPr>
        <w:spacing w:line="240" w:lineRule="auto"/>
        <w:ind w:firstLine="432"/>
        <w:jc w:val="both"/>
        <w:rPr>
          <w:rFonts w:ascii="Sylfaen" w:hAnsi="Sylfaen"/>
        </w:rPr>
      </w:pPr>
      <w:r w:rsidRPr="00796AEF">
        <w:rPr>
          <w:rFonts w:ascii="Sylfaen" w:hAnsi="Sylfaen"/>
        </w:rPr>
        <w:t>Article 19, European Convention</w:t>
      </w:r>
      <w:r w:rsidR="00973A71">
        <w:rPr>
          <w:rFonts w:ascii="Sylfaen" w:hAnsi="Sylfaen"/>
        </w:rPr>
        <w:t xml:space="preserve"> on</w:t>
      </w:r>
      <w:r w:rsidRPr="00796AEF">
        <w:rPr>
          <w:rFonts w:ascii="Sylfaen" w:hAnsi="Sylfaen"/>
        </w:rPr>
        <w:t xml:space="preserve"> the Protection of Human Rights and Fundamental Freedoms 1950.</w:t>
      </w:r>
    </w:p>
    <w:p w14:paraId="7F4A680D" w14:textId="5FEB9C63" w:rsidR="00796AEF" w:rsidRPr="00796AEF" w:rsidRDefault="00796AEF" w:rsidP="00B627C7">
      <w:pPr>
        <w:spacing w:line="240" w:lineRule="auto"/>
        <w:ind w:firstLine="432"/>
        <w:jc w:val="both"/>
        <w:rPr>
          <w:rFonts w:ascii="Sylfaen" w:hAnsi="Sylfaen"/>
        </w:rPr>
      </w:pPr>
      <w:r w:rsidRPr="00796AEF">
        <w:rPr>
          <w:rFonts w:ascii="Sylfaen" w:hAnsi="Sylfaen"/>
        </w:rPr>
        <w:t xml:space="preserve">11. Case law reference - name of the court, if possible, type of </w:t>
      </w:r>
      <w:r w:rsidR="003A13CF">
        <w:rPr>
          <w:rFonts w:ascii="Sylfaen" w:hAnsi="Sylfaen"/>
        </w:rPr>
        <w:t xml:space="preserve">the </w:t>
      </w:r>
      <w:r w:rsidRPr="00796AEF">
        <w:rPr>
          <w:rFonts w:ascii="Sylfaen" w:hAnsi="Sylfaen"/>
        </w:rPr>
        <w:t>court act, case or application number, name of the parties in quotation marks, date of decision, relevant page, or paragraph.</w:t>
      </w:r>
    </w:p>
    <w:p w14:paraId="6486AD36" w14:textId="77777777" w:rsidR="00796AEF" w:rsidRPr="00796AEF" w:rsidRDefault="00796AEF" w:rsidP="00B627C7">
      <w:pPr>
        <w:spacing w:line="240" w:lineRule="auto"/>
        <w:ind w:firstLine="432"/>
        <w:jc w:val="both"/>
        <w:rPr>
          <w:rFonts w:ascii="Sylfaen" w:hAnsi="Sylfaen"/>
        </w:rPr>
      </w:pPr>
      <w:r w:rsidRPr="00796AEF">
        <w:rPr>
          <w:rFonts w:ascii="Sylfaen" w:hAnsi="Sylfaen"/>
        </w:rPr>
        <w:t>For example: Judgment of the Constitutional Court of Georgia in the case N1 / 1/477 "Public Defender of Georgia v. Parliament of Georgia", December 22, 2011. Paragraph 80.</w:t>
      </w:r>
    </w:p>
    <w:p w14:paraId="1DAFDF70" w14:textId="77777777" w:rsidR="00796AEF" w:rsidRPr="00796AEF" w:rsidRDefault="00796AEF" w:rsidP="00B627C7">
      <w:pPr>
        <w:spacing w:line="240" w:lineRule="auto"/>
        <w:ind w:firstLine="432"/>
        <w:jc w:val="both"/>
        <w:rPr>
          <w:rFonts w:ascii="Sylfaen" w:hAnsi="Sylfaen"/>
        </w:rPr>
      </w:pPr>
      <w:r w:rsidRPr="00796AEF">
        <w:rPr>
          <w:rFonts w:ascii="Sylfaen" w:hAnsi="Sylfaen"/>
        </w:rPr>
        <w:t xml:space="preserve">For example: Judgment of the European Court of Human Rights in Case N9815 / 82 </w:t>
      </w:r>
      <w:proofErr w:type="spellStart"/>
      <w:r w:rsidRPr="00796AEF">
        <w:rPr>
          <w:rFonts w:ascii="Sylfaen" w:hAnsi="Sylfaen"/>
        </w:rPr>
        <w:t>Lingens</w:t>
      </w:r>
      <w:proofErr w:type="spellEnd"/>
      <w:r w:rsidRPr="00796AEF">
        <w:rPr>
          <w:rFonts w:ascii="Sylfaen" w:hAnsi="Sylfaen"/>
        </w:rPr>
        <w:t xml:space="preserve"> v. Austria, 8 June 1986. Paragraphs 41-42.</w:t>
      </w:r>
    </w:p>
    <w:p w14:paraId="7F1B97F6" w14:textId="77777777" w:rsidR="00796AEF" w:rsidRPr="00796AEF" w:rsidRDefault="00796AEF" w:rsidP="00B627C7">
      <w:pPr>
        <w:spacing w:line="240" w:lineRule="auto"/>
        <w:ind w:firstLine="432"/>
        <w:jc w:val="both"/>
        <w:rPr>
          <w:rFonts w:ascii="Sylfaen" w:hAnsi="Sylfaen"/>
        </w:rPr>
      </w:pPr>
      <w:r w:rsidRPr="00796AEF">
        <w:rPr>
          <w:rFonts w:ascii="Sylfaen" w:hAnsi="Sylfaen"/>
        </w:rPr>
        <w:t>12. The rules for quoting are defined as follows:</w:t>
      </w:r>
    </w:p>
    <w:p w14:paraId="60A1B51F" w14:textId="77777777" w:rsidR="00796AEF" w:rsidRPr="00796AEF" w:rsidRDefault="00796AEF" w:rsidP="00B627C7">
      <w:pPr>
        <w:spacing w:line="240" w:lineRule="auto"/>
        <w:ind w:firstLine="432"/>
        <w:jc w:val="both"/>
        <w:rPr>
          <w:rFonts w:ascii="Sylfaen" w:hAnsi="Sylfaen"/>
        </w:rPr>
      </w:pPr>
      <w:r w:rsidRPr="00796AEF">
        <w:rPr>
          <w:rFonts w:ascii="Sylfaen" w:hAnsi="Sylfaen"/>
        </w:rPr>
        <w:t>The quote in the text or footnote should be enclosed in double quotes:</w:t>
      </w:r>
    </w:p>
    <w:p w14:paraId="5E9AE00B" w14:textId="36AE50BC" w:rsidR="00C9522A" w:rsidRPr="00796AEF" w:rsidRDefault="00796AEF" w:rsidP="00B627C7">
      <w:pPr>
        <w:spacing w:line="240" w:lineRule="auto"/>
        <w:ind w:firstLine="432"/>
        <w:jc w:val="both"/>
        <w:rPr>
          <w:rFonts w:ascii="Sylfaen" w:hAnsi="Sylfaen"/>
        </w:rPr>
      </w:pPr>
      <w:r w:rsidRPr="00796AEF">
        <w:rPr>
          <w:rFonts w:ascii="Sylfaen" w:hAnsi="Sylfaen"/>
        </w:rPr>
        <w:t>The quotation mark should be low („), after the quote - high (“).</w:t>
      </w:r>
    </w:p>
    <w:sectPr w:rsidR="00C9522A" w:rsidRPr="00796AEF" w:rsidSect="00245EF9">
      <w:headerReference w:type="default" r:id="rId6"/>
      <w:type w:val="continuous"/>
      <w:pgSz w:w="12240" w:h="15840" w:code="1"/>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86C7" w14:textId="77777777" w:rsidR="007D552B" w:rsidRDefault="007D552B" w:rsidP="00E811F0">
      <w:pPr>
        <w:spacing w:after="0" w:line="240" w:lineRule="auto"/>
      </w:pPr>
      <w:r>
        <w:separator/>
      </w:r>
    </w:p>
  </w:endnote>
  <w:endnote w:type="continuationSeparator" w:id="0">
    <w:p w14:paraId="28B49182" w14:textId="77777777" w:rsidR="007D552B" w:rsidRDefault="007D552B" w:rsidP="00E8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FA59" w14:textId="77777777" w:rsidR="007D552B" w:rsidRDefault="007D552B" w:rsidP="00E811F0">
      <w:pPr>
        <w:spacing w:after="0" w:line="240" w:lineRule="auto"/>
      </w:pPr>
      <w:r>
        <w:separator/>
      </w:r>
    </w:p>
  </w:footnote>
  <w:footnote w:type="continuationSeparator" w:id="0">
    <w:p w14:paraId="4A59767B" w14:textId="77777777" w:rsidR="007D552B" w:rsidRDefault="007D552B" w:rsidP="00E8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3E8B" w14:textId="77777777" w:rsidR="00E811F0" w:rsidRPr="00E811F0" w:rsidRDefault="00E811F0" w:rsidP="00E811F0">
    <w:pPr>
      <w:pStyle w:val="Header"/>
      <w:jc w:val="right"/>
      <w:rPr>
        <w:rFonts w:ascii="Sylfaen" w:hAnsi="Sylfaen"/>
        <w:i/>
        <w:iCs/>
      </w:rPr>
    </w:pPr>
    <w:r w:rsidRPr="00E811F0">
      <w:rPr>
        <w:rFonts w:ascii="Sylfaen" w:hAnsi="Sylfaen"/>
        <w:i/>
        <w:iCs/>
      </w:rPr>
      <w:t>Appendix,</w:t>
    </w:r>
  </w:p>
  <w:p w14:paraId="12A9CB01" w14:textId="78D00BA5" w:rsidR="00E811F0" w:rsidRPr="00E811F0" w:rsidRDefault="00E811F0" w:rsidP="00E811F0">
    <w:pPr>
      <w:pStyle w:val="Header"/>
      <w:jc w:val="right"/>
      <w:rPr>
        <w:rFonts w:ascii="Sylfaen" w:hAnsi="Sylfaen"/>
        <w:i/>
        <w:iCs/>
      </w:rPr>
    </w:pPr>
    <w:r w:rsidRPr="00E811F0">
      <w:rPr>
        <w:rFonts w:ascii="Sylfaen" w:hAnsi="Sylfaen"/>
        <w:i/>
        <w:iCs/>
      </w:rPr>
      <w:t>Academic style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DB"/>
    <w:rsid w:val="00075471"/>
    <w:rsid w:val="000F53D6"/>
    <w:rsid w:val="00156D4A"/>
    <w:rsid w:val="00245EF9"/>
    <w:rsid w:val="002C0E85"/>
    <w:rsid w:val="00352B38"/>
    <w:rsid w:val="003A13CF"/>
    <w:rsid w:val="00515B0A"/>
    <w:rsid w:val="00796AEF"/>
    <w:rsid w:val="007D552B"/>
    <w:rsid w:val="00824CA0"/>
    <w:rsid w:val="009159DB"/>
    <w:rsid w:val="00971F2C"/>
    <w:rsid w:val="00973A71"/>
    <w:rsid w:val="00B26E57"/>
    <w:rsid w:val="00B627C7"/>
    <w:rsid w:val="00C9522A"/>
    <w:rsid w:val="00E72EFE"/>
    <w:rsid w:val="00E811F0"/>
    <w:rsid w:val="00ED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C58D"/>
  <w15:chartTrackingRefBased/>
  <w15:docId w15:val="{D034630D-3597-419F-8020-106D332C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0A"/>
    <w:pPr>
      <w:ind w:left="720"/>
      <w:contextualSpacing/>
    </w:pPr>
  </w:style>
  <w:style w:type="paragraph" w:styleId="Header">
    <w:name w:val="header"/>
    <w:basedOn w:val="Normal"/>
    <w:link w:val="HeaderChar"/>
    <w:uiPriority w:val="99"/>
    <w:unhideWhenUsed/>
    <w:rsid w:val="00E8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F0"/>
  </w:style>
  <w:style w:type="paragraph" w:styleId="Footer">
    <w:name w:val="footer"/>
    <w:basedOn w:val="Normal"/>
    <w:link w:val="FooterChar"/>
    <w:uiPriority w:val="99"/>
    <w:unhideWhenUsed/>
    <w:rsid w:val="00E8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Natia Gugunashvili</cp:lastModifiedBy>
  <cp:revision>12</cp:revision>
  <dcterms:created xsi:type="dcterms:W3CDTF">2022-04-15T07:16:00Z</dcterms:created>
  <dcterms:modified xsi:type="dcterms:W3CDTF">2022-04-15T13:31:00Z</dcterms:modified>
</cp:coreProperties>
</file>